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971F" w14:textId="2E18F33D" w:rsidR="006E05FE" w:rsidRPr="00A21F0A" w:rsidRDefault="006E05FE" w:rsidP="005D03B2">
      <w:pPr>
        <w:rPr>
          <w:rFonts w:ascii="Calibri" w:eastAsia="Times New Roman" w:hAnsi="Calibri" w:cs="Calibri"/>
        </w:rPr>
      </w:pPr>
      <w:r w:rsidRPr="00A21F0A">
        <w:rPr>
          <w:rFonts w:ascii="Calibri" w:hAnsi="Calibri" w:cs="Calibri"/>
          <w:b/>
          <w:u w:val="single"/>
        </w:rPr>
        <w:t>Independent Projects:</w:t>
      </w:r>
      <w:r w:rsidRPr="00A21F0A">
        <w:rPr>
          <w:rFonts w:ascii="Calibri" w:hAnsi="Calibri" w:cs="Calibri"/>
          <w:bCs/>
        </w:rPr>
        <w:t xml:space="preserve"> </w:t>
      </w:r>
      <w:r w:rsidR="005D03B2" w:rsidRPr="00A21F0A">
        <w:rPr>
          <w:rFonts w:ascii="Calibri" w:hAnsi="Calibri" w:cs="Calibri"/>
          <w:bCs/>
        </w:rPr>
        <w:t xml:space="preserve">Generally speaking, the lab requires a 10 </w:t>
      </w:r>
      <w:proofErr w:type="spellStart"/>
      <w:r w:rsidR="005D03B2" w:rsidRPr="00A21F0A">
        <w:rPr>
          <w:rFonts w:ascii="Calibri" w:hAnsi="Calibri" w:cs="Calibri"/>
          <w:bCs/>
        </w:rPr>
        <w:t>hr</w:t>
      </w:r>
      <w:proofErr w:type="spellEnd"/>
      <w:r w:rsidR="005D03B2" w:rsidRPr="00A21F0A">
        <w:rPr>
          <w:rFonts w:ascii="Calibri" w:hAnsi="Calibri" w:cs="Calibri"/>
          <w:bCs/>
        </w:rPr>
        <w:t>/week commitment from research assistants for at least 1 year. Research assistants who complete their 1-year commitment and demonstrate</w:t>
      </w:r>
      <w:r w:rsidR="005D03B2" w:rsidRPr="00A21F0A">
        <w:rPr>
          <w:rFonts w:ascii="Calibri" w:eastAsia="Times New Roman" w:hAnsi="Calibri" w:cs="Calibri"/>
        </w:rPr>
        <w:t xml:space="preserve"> motivation, interest, and responsibility </w:t>
      </w:r>
      <w:r w:rsidR="005D03B2" w:rsidRPr="00A21F0A">
        <w:rPr>
          <w:rFonts w:ascii="Calibri" w:hAnsi="Calibri" w:cs="Calibri"/>
          <w:bCs/>
        </w:rPr>
        <w:t xml:space="preserve">may be </w:t>
      </w:r>
      <w:r w:rsidR="00D83BB3">
        <w:rPr>
          <w:rFonts w:ascii="Calibri" w:hAnsi="Calibri" w:cs="Calibri"/>
          <w:bCs/>
        </w:rPr>
        <w:t>interested in</w:t>
      </w:r>
      <w:r w:rsidR="005D03B2" w:rsidRPr="00A21F0A">
        <w:rPr>
          <w:rFonts w:ascii="Calibri" w:eastAsia="Times New Roman" w:hAnsi="Calibri" w:cs="Calibri"/>
        </w:rPr>
        <w:t xml:space="preserve"> pursu</w:t>
      </w:r>
      <w:r w:rsidR="00D83BB3">
        <w:rPr>
          <w:rFonts w:ascii="Calibri" w:eastAsia="Times New Roman" w:hAnsi="Calibri" w:cs="Calibri"/>
        </w:rPr>
        <w:t xml:space="preserve">ing </w:t>
      </w:r>
      <w:r w:rsidR="005D03B2" w:rsidRPr="00A21F0A">
        <w:rPr>
          <w:rFonts w:ascii="Calibri" w:eastAsia="Times New Roman" w:hAnsi="Calibri" w:cs="Calibri"/>
        </w:rPr>
        <w:t>independent projects. Independent projects are an important opportunity to gain critical research skills in conducting literature reviews, developing hypotheses, designing tasks, managing projects, cleaning and analyzing data,</w:t>
      </w:r>
      <w:r w:rsidR="005D03B2" w:rsidRPr="00A21F0A">
        <w:rPr>
          <w:rFonts w:ascii="Calibri" w:hAnsi="Calibri" w:cs="Calibri"/>
          <w:bCs/>
        </w:rPr>
        <w:t xml:space="preserve"> and presenting. </w:t>
      </w:r>
      <w:r w:rsidR="00481BFB">
        <w:rPr>
          <w:rFonts w:ascii="Calibri" w:hAnsi="Calibri" w:cs="Calibri"/>
          <w:bCs/>
        </w:rPr>
        <w:t xml:space="preserve">Any thesis or </w:t>
      </w:r>
      <w:r w:rsidR="00481BFB">
        <w:rPr>
          <w:rFonts w:ascii="Calibri" w:eastAsia="Times New Roman" w:hAnsi="Calibri" w:cs="Calibri"/>
        </w:rPr>
        <w:t>i</w:t>
      </w:r>
      <w:r w:rsidR="00A21F0A" w:rsidRPr="00A21F0A">
        <w:rPr>
          <w:rFonts w:ascii="Calibri" w:eastAsia="Times New Roman" w:hAnsi="Calibri" w:cs="Calibri"/>
        </w:rPr>
        <w:t>ndependent project</w:t>
      </w:r>
      <w:r w:rsidR="00481BFB">
        <w:rPr>
          <w:rFonts w:ascii="Calibri" w:eastAsia="Times New Roman" w:hAnsi="Calibri" w:cs="Calibri"/>
        </w:rPr>
        <w:t xml:space="preserve"> completed in the lab </w:t>
      </w:r>
      <w:r w:rsidR="00A21F0A" w:rsidRPr="00A21F0A">
        <w:rPr>
          <w:rFonts w:ascii="Calibri" w:eastAsia="Times New Roman" w:hAnsi="Calibri" w:cs="Calibri"/>
        </w:rPr>
        <w:t>require</w:t>
      </w:r>
      <w:r w:rsidR="00481BFB">
        <w:rPr>
          <w:rFonts w:ascii="Calibri" w:eastAsia="Times New Roman" w:hAnsi="Calibri" w:cs="Calibri"/>
        </w:rPr>
        <w:t xml:space="preserve">s direct supervision from a </w:t>
      </w:r>
      <w:r w:rsidR="00A21F0A" w:rsidRPr="00A21F0A">
        <w:rPr>
          <w:rFonts w:ascii="Calibri" w:eastAsia="Times New Roman" w:hAnsi="Calibri" w:cs="Calibri"/>
        </w:rPr>
        <w:t>graduate student</w:t>
      </w:r>
      <w:r w:rsidR="00481BFB">
        <w:rPr>
          <w:rFonts w:ascii="Calibri" w:eastAsia="Times New Roman" w:hAnsi="Calibri" w:cs="Calibri"/>
        </w:rPr>
        <w:t xml:space="preserve">, </w:t>
      </w:r>
      <w:r w:rsidR="00A21F0A" w:rsidRPr="00A21F0A">
        <w:rPr>
          <w:rFonts w:ascii="Calibri" w:eastAsia="Times New Roman" w:hAnsi="Calibri" w:cs="Calibri"/>
        </w:rPr>
        <w:t>post-doc</w:t>
      </w:r>
      <w:r w:rsidR="00481BFB">
        <w:rPr>
          <w:rFonts w:ascii="Calibri" w:eastAsia="Times New Roman" w:hAnsi="Calibri" w:cs="Calibri"/>
        </w:rPr>
        <w:t xml:space="preserve"> or Dr. Tottenham</w:t>
      </w:r>
      <w:r w:rsidR="00A21F0A" w:rsidRPr="00A21F0A">
        <w:rPr>
          <w:rFonts w:ascii="Calibri" w:eastAsia="Times New Roman" w:hAnsi="Calibri" w:cs="Calibri"/>
        </w:rPr>
        <w:t>.</w:t>
      </w:r>
      <w:r w:rsidR="005D03B2" w:rsidRPr="00A21F0A">
        <w:rPr>
          <w:rFonts w:ascii="Calibri" w:hAnsi="Calibri" w:cs="Calibri"/>
          <w:bCs/>
        </w:rPr>
        <w:t xml:space="preserve"> </w:t>
      </w:r>
      <w:r w:rsidR="00481BFB" w:rsidRPr="00A21F0A">
        <w:rPr>
          <w:rFonts w:ascii="Calibri" w:hAnsi="Calibri" w:cs="Calibri"/>
          <w:bCs/>
        </w:rPr>
        <w:t>The general timeline of independent projects is as follows.</w:t>
      </w:r>
      <w:r w:rsidR="00481BFB">
        <w:rPr>
          <w:rFonts w:ascii="Calibri" w:hAnsi="Calibri" w:cs="Calibri"/>
          <w:bCs/>
        </w:rPr>
        <w:t xml:space="preserve"> </w:t>
      </w:r>
      <w:r w:rsidR="005D03B2" w:rsidRPr="00A21F0A">
        <w:rPr>
          <w:rFonts w:ascii="Calibri" w:hAnsi="Calibri" w:cs="Calibri"/>
          <w:bCs/>
        </w:rPr>
        <w:t xml:space="preserve">Please keep in mind that these </w:t>
      </w:r>
      <w:r w:rsidR="005D03B2" w:rsidRPr="00A21F0A">
        <w:rPr>
          <w:rFonts w:ascii="Calibri" w:eastAsia="Times New Roman" w:hAnsi="Calibri" w:cs="Calibri"/>
        </w:rPr>
        <w:t>guidelines may vary</w:t>
      </w:r>
      <w:r w:rsidR="00A21F0A" w:rsidRPr="00A21F0A">
        <w:rPr>
          <w:rFonts w:ascii="Calibri" w:eastAsia="Times New Roman" w:hAnsi="Calibri" w:cs="Calibri"/>
        </w:rPr>
        <w:t xml:space="preserve"> </w:t>
      </w:r>
      <w:r w:rsidR="005D03B2" w:rsidRPr="00A21F0A">
        <w:rPr>
          <w:rFonts w:ascii="Calibri" w:eastAsia="Times New Roman" w:hAnsi="Calibri" w:cs="Calibri"/>
        </w:rPr>
        <w:t>depending on the expectations established with your supervisor.</w:t>
      </w:r>
    </w:p>
    <w:p w14:paraId="6D70EB60" w14:textId="19FEE605" w:rsidR="005D03B2" w:rsidRPr="00A21F0A" w:rsidRDefault="005D03B2" w:rsidP="005D03B2">
      <w:pPr>
        <w:rPr>
          <w:rFonts w:ascii="Calibri" w:eastAsia="Times New Roman" w:hAnsi="Calibri" w:cs="Calibri"/>
        </w:rPr>
      </w:pPr>
    </w:p>
    <w:p w14:paraId="62CAFC45" w14:textId="0759E4B7" w:rsidR="005D03B2" w:rsidRPr="00A21F0A" w:rsidRDefault="005D03B2" w:rsidP="005D03B2">
      <w:pPr>
        <w:rPr>
          <w:rFonts w:ascii="Calibri" w:eastAsia="Times New Roman" w:hAnsi="Calibri" w:cs="Calibri"/>
          <w:b/>
          <w:bCs/>
        </w:rPr>
      </w:pPr>
      <w:r w:rsidRPr="00A21F0A">
        <w:rPr>
          <w:rFonts w:ascii="Calibri" w:eastAsia="Times New Roman" w:hAnsi="Calibri" w:cs="Calibri"/>
          <w:b/>
          <w:bCs/>
        </w:rPr>
        <w:t>Independent 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D03B2" w:rsidRPr="00A21F0A" w14:paraId="1885E861" w14:textId="77777777" w:rsidTr="005D03B2">
        <w:tc>
          <w:tcPr>
            <w:tcW w:w="2065" w:type="dxa"/>
          </w:tcPr>
          <w:p w14:paraId="73F3BFD3" w14:textId="122D5A92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0 – 1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</w:p>
        </w:tc>
        <w:tc>
          <w:tcPr>
            <w:tcW w:w="7285" w:type="dxa"/>
          </w:tcPr>
          <w:p w14:paraId="6912FD22" w14:textId="15ED68A5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>Work with supervisor to develop research question</w:t>
            </w:r>
          </w:p>
        </w:tc>
      </w:tr>
      <w:tr w:rsidR="005D03B2" w:rsidRPr="00A21F0A" w14:paraId="1DE2EF3F" w14:textId="77777777" w:rsidTr="005D03B2">
        <w:tc>
          <w:tcPr>
            <w:tcW w:w="2065" w:type="dxa"/>
          </w:tcPr>
          <w:p w14:paraId="6430A1B6" w14:textId="16A14FB0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1 – 3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</w:p>
        </w:tc>
        <w:tc>
          <w:tcPr>
            <w:tcW w:w="7285" w:type="dxa"/>
          </w:tcPr>
          <w:p w14:paraId="75F43901" w14:textId="77777777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Conduct thorough literature review and establish hypotheses </w:t>
            </w:r>
          </w:p>
          <w:p w14:paraId="38B8A01B" w14:textId="1C2D13A4" w:rsidR="005D03B2" w:rsidRPr="00A21F0A" w:rsidRDefault="005D03B2" w:rsidP="005D03B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>Work with supervisor to preregister hypotheses if appropriate</w:t>
            </w:r>
          </w:p>
        </w:tc>
      </w:tr>
      <w:tr w:rsidR="005D03B2" w:rsidRPr="00A21F0A" w14:paraId="5DB65B37" w14:textId="77777777" w:rsidTr="005D03B2">
        <w:tc>
          <w:tcPr>
            <w:tcW w:w="2065" w:type="dxa"/>
          </w:tcPr>
          <w:p w14:paraId="260109A6" w14:textId="136EC328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3 – 4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  <w:r w:rsidRPr="00A21F0A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7285" w:type="dxa"/>
          </w:tcPr>
          <w:p w14:paraId="10DBDCE8" w14:textId="19D42C20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>Identify appropriate dataset and gain access</w:t>
            </w:r>
          </w:p>
        </w:tc>
      </w:tr>
      <w:tr w:rsidR="005D03B2" w:rsidRPr="00A21F0A" w14:paraId="01970747" w14:textId="77777777" w:rsidTr="005D03B2">
        <w:tc>
          <w:tcPr>
            <w:tcW w:w="2065" w:type="dxa"/>
          </w:tcPr>
          <w:p w14:paraId="37D629E4" w14:textId="4EAACB55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4 – 6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</w:p>
        </w:tc>
        <w:tc>
          <w:tcPr>
            <w:tcW w:w="7285" w:type="dxa"/>
          </w:tcPr>
          <w:p w14:paraId="2E11F2A9" w14:textId="0FE6CBB2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>Identify relevant variables and begin data cleaning</w:t>
            </w:r>
          </w:p>
        </w:tc>
      </w:tr>
      <w:tr w:rsidR="005D03B2" w:rsidRPr="00A21F0A" w14:paraId="7C4C6D57" w14:textId="77777777" w:rsidTr="005D03B2">
        <w:tc>
          <w:tcPr>
            <w:tcW w:w="2065" w:type="dxa"/>
          </w:tcPr>
          <w:p w14:paraId="229C8778" w14:textId="6FE6E758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6 – 8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</w:p>
        </w:tc>
        <w:tc>
          <w:tcPr>
            <w:tcW w:w="7285" w:type="dxa"/>
          </w:tcPr>
          <w:p w14:paraId="6A05D1BF" w14:textId="1E7BAE44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>Finish data cleaning and begin data analyses to address research question</w:t>
            </w:r>
            <w:r w:rsidR="00196DD0" w:rsidRPr="00A21F0A">
              <w:rPr>
                <w:rFonts w:ascii="Calibri" w:hAnsi="Calibri" w:cs="Calibri"/>
                <w:bCs/>
              </w:rPr>
              <w:t>s</w:t>
            </w:r>
            <w:r w:rsidRPr="00A21F0A">
              <w:rPr>
                <w:rFonts w:ascii="Calibri" w:hAnsi="Calibri" w:cs="Calibri"/>
                <w:bCs/>
              </w:rPr>
              <w:t xml:space="preserve"> of interest</w:t>
            </w:r>
          </w:p>
        </w:tc>
      </w:tr>
      <w:tr w:rsidR="005D03B2" w:rsidRPr="00A21F0A" w14:paraId="5B3D9B58" w14:textId="77777777" w:rsidTr="005D03B2">
        <w:tc>
          <w:tcPr>
            <w:tcW w:w="2065" w:type="dxa"/>
          </w:tcPr>
          <w:p w14:paraId="7584BB36" w14:textId="01B31996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9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</w:p>
        </w:tc>
        <w:tc>
          <w:tcPr>
            <w:tcW w:w="7285" w:type="dxa"/>
          </w:tcPr>
          <w:p w14:paraId="000F04F3" w14:textId="4FC4D68C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>Present preliminary findings to laboratory and incorporate feedback</w:t>
            </w:r>
          </w:p>
        </w:tc>
      </w:tr>
      <w:tr w:rsidR="005D03B2" w:rsidRPr="00A21F0A" w14:paraId="5FD68DBD" w14:textId="77777777" w:rsidTr="005D03B2">
        <w:tc>
          <w:tcPr>
            <w:tcW w:w="2065" w:type="dxa"/>
          </w:tcPr>
          <w:p w14:paraId="6A6880AA" w14:textId="4C615969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9 – 11 </w:t>
            </w:r>
            <w:proofErr w:type="spellStart"/>
            <w:r w:rsidRPr="00A21F0A">
              <w:rPr>
                <w:rFonts w:ascii="Calibri" w:hAnsi="Calibri" w:cs="Calibri"/>
                <w:bCs/>
              </w:rPr>
              <w:t>mos</w:t>
            </w:r>
            <w:proofErr w:type="spellEnd"/>
            <w:r w:rsidRPr="00A21F0A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7285" w:type="dxa"/>
          </w:tcPr>
          <w:p w14:paraId="461CF457" w14:textId="33045AC8" w:rsidR="005D03B2" w:rsidRPr="00A21F0A" w:rsidRDefault="005D03B2" w:rsidP="005D03B2">
            <w:pPr>
              <w:rPr>
                <w:rFonts w:ascii="Calibri" w:hAnsi="Calibri" w:cs="Calibri"/>
                <w:bCs/>
              </w:rPr>
            </w:pPr>
            <w:r w:rsidRPr="00A21F0A">
              <w:rPr>
                <w:rFonts w:ascii="Calibri" w:hAnsi="Calibri" w:cs="Calibri"/>
                <w:bCs/>
              </w:rPr>
              <w:t xml:space="preserve">Finish data analyses and identify avenues for dissemination </w:t>
            </w:r>
          </w:p>
        </w:tc>
      </w:tr>
    </w:tbl>
    <w:p w14:paraId="010E12C5" w14:textId="77777777" w:rsidR="00D83BB3" w:rsidRDefault="00D83BB3" w:rsidP="005D03B2">
      <w:pPr>
        <w:rPr>
          <w:rFonts w:ascii="Calibri" w:hAnsi="Calibri" w:cs="Calibri"/>
          <w:b/>
          <w:u w:val="single"/>
        </w:rPr>
      </w:pPr>
    </w:p>
    <w:p w14:paraId="1F176592" w14:textId="662E94D3" w:rsidR="005D03B2" w:rsidRDefault="005D03B2" w:rsidP="005D03B2">
      <w:pPr>
        <w:rPr>
          <w:rFonts w:ascii="Calibri" w:hAnsi="Calibri" w:cs="Calibri"/>
          <w:bCs/>
        </w:rPr>
      </w:pPr>
      <w:r w:rsidRPr="00A21F0A">
        <w:rPr>
          <w:rFonts w:ascii="Calibri" w:hAnsi="Calibri" w:cs="Calibri"/>
          <w:b/>
          <w:u w:val="single"/>
        </w:rPr>
        <w:t>Disseminat</w:t>
      </w:r>
      <w:r w:rsidR="00973E87">
        <w:rPr>
          <w:rFonts w:ascii="Calibri" w:hAnsi="Calibri" w:cs="Calibri"/>
          <w:b/>
          <w:u w:val="single"/>
        </w:rPr>
        <w:t>ion</w:t>
      </w:r>
      <w:r w:rsidRPr="00A21F0A">
        <w:rPr>
          <w:rFonts w:ascii="Calibri" w:hAnsi="Calibri" w:cs="Calibri"/>
          <w:bCs/>
        </w:rPr>
        <w:t>: Upon completion of independent project</w:t>
      </w:r>
      <w:r w:rsidR="00196DD0" w:rsidRPr="00A21F0A">
        <w:rPr>
          <w:rFonts w:ascii="Calibri" w:hAnsi="Calibri" w:cs="Calibri"/>
          <w:bCs/>
        </w:rPr>
        <w:t>s</w:t>
      </w:r>
      <w:r w:rsidRPr="00A21F0A">
        <w:rPr>
          <w:rFonts w:ascii="Calibri" w:hAnsi="Calibri" w:cs="Calibri"/>
          <w:bCs/>
        </w:rPr>
        <w:t xml:space="preserve">, students should work with their supervisors to determine the most appropriate avenue of dissemination (i.e., local symposiums, conferences, etc.). Importantly, research assistants </w:t>
      </w:r>
      <w:r w:rsidR="00196DD0" w:rsidRPr="00A21F0A">
        <w:rPr>
          <w:rFonts w:ascii="Calibri" w:hAnsi="Calibri" w:cs="Calibri"/>
          <w:bCs/>
        </w:rPr>
        <w:t>who are interested</w:t>
      </w:r>
      <w:r w:rsidRPr="00A21F0A">
        <w:rPr>
          <w:rFonts w:ascii="Calibri" w:hAnsi="Calibri" w:cs="Calibri"/>
          <w:bCs/>
        </w:rPr>
        <w:t xml:space="preserve"> in presenting work at national or international conferences should </w:t>
      </w:r>
      <w:r w:rsidR="00196DD0" w:rsidRPr="00A21F0A">
        <w:rPr>
          <w:rFonts w:ascii="Calibri" w:hAnsi="Calibri" w:cs="Calibri"/>
          <w:bCs/>
        </w:rPr>
        <w:t>be aware of</w:t>
      </w:r>
      <w:r w:rsidRPr="00A21F0A">
        <w:rPr>
          <w:rFonts w:ascii="Calibri" w:hAnsi="Calibri" w:cs="Calibri"/>
          <w:bCs/>
        </w:rPr>
        <w:t xml:space="preserve"> the advance </w:t>
      </w:r>
      <w:r w:rsidR="00196DD0" w:rsidRPr="00A21F0A">
        <w:rPr>
          <w:rFonts w:ascii="Calibri" w:hAnsi="Calibri" w:cs="Calibri"/>
          <w:bCs/>
        </w:rPr>
        <w:t xml:space="preserve">submission </w:t>
      </w:r>
      <w:r w:rsidRPr="00A21F0A">
        <w:rPr>
          <w:rFonts w:ascii="Calibri" w:hAnsi="Calibri" w:cs="Calibri"/>
          <w:bCs/>
        </w:rPr>
        <w:t xml:space="preserve">deadlines </w:t>
      </w:r>
      <w:r w:rsidR="00196DD0" w:rsidRPr="00A21F0A">
        <w:rPr>
          <w:rFonts w:ascii="Calibri" w:hAnsi="Calibri" w:cs="Calibri"/>
          <w:bCs/>
        </w:rPr>
        <w:t xml:space="preserve">for most meetings </w:t>
      </w:r>
      <w:r w:rsidRPr="00A21F0A">
        <w:rPr>
          <w:rFonts w:ascii="Calibri" w:hAnsi="Calibri" w:cs="Calibri"/>
          <w:bCs/>
        </w:rPr>
        <w:t xml:space="preserve">and </w:t>
      </w:r>
      <w:r w:rsidR="00A21F0A">
        <w:rPr>
          <w:rFonts w:ascii="Calibri" w:hAnsi="Calibri" w:cs="Calibri"/>
          <w:bCs/>
        </w:rPr>
        <w:t>potential</w:t>
      </w:r>
      <w:r w:rsidRPr="00A21F0A">
        <w:rPr>
          <w:rFonts w:ascii="Calibri" w:hAnsi="Calibri" w:cs="Calibri"/>
          <w:bCs/>
        </w:rPr>
        <w:t xml:space="preserve"> cost</w:t>
      </w:r>
      <w:r w:rsidR="00A21F0A">
        <w:rPr>
          <w:rFonts w:ascii="Calibri" w:hAnsi="Calibri" w:cs="Calibri"/>
          <w:bCs/>
        </w:rPr>
        <w:t>s</w:t>
      </w:r>
      <w:r w:rsidRPr="00A21F0A">
        <w:rPr>
          <w:rFonts w:ascii="Calibri" w:hAnsi="Calibri" w:cs="Calibri"/>
          <w:bCs/>
        </w:rPr>
        <w:t xml:space="preserve"> required </w:t>
      </w:r>
      <w:r w:rsidR="00196DD0" w:rsidRPr="00A21F0A">
        <w:rPr>
          <w:rFonts w:ascii="Calibri" w:hAnsi="Calibri" w:cs="Calibri"/>
          <w:bCs/>
        </w:rPr>
        <w:t>for attendance. If appropriate, research assistants can discuss the possibility of publication with their supervisors upon completion of preregistration for registered reports, or upon</w:t>
      </w:r>
      <w:r w:rsidR="00A21F0A">
        <w:rPr>
          <w:rFonts w:ascii="Calibri" w:hAnsi="Calibri" w:cs="Calibri"/>
          <w:bCs/>
        </w:rPr>
        <w:t xml:space="preserve"> completion of</w:t>
      </w:r>
      <w:r w:rsidR="00196DD0" w:rsidRPr="00A21F0A">
        <w:rPr>
          <w:rFonts w:ascii="Calibri" w:hAnsi="Calibri" w:cs="Calibri"/>
          <w:bCs/>
        </w:rPr>
        <w:t xml:space="preserve"> data analysis for traditional manuscripts, keeping in mind that scientific writing is a long, iterative process that can take several years from start to eventual publication. </w:t>
      </w:r>
    </w:p>
    <w:p w14:paraId="24105213" w14:textId="21295A34" w:rsidR="00D83BB3" w:rsidRDefault="00D83BB3" w:rsidP="005D03B2">
      <w:pPr>
        <w:rPr>
          <w:rFonts w:ascii="Calibri" w:hAnsi="Calibri" w:cs="Calibri"/>
          <w:bCs/>
        </w:rPr>
      </w:pPr>
    </w:p>
    <w:p w14:paraId="33751475" w14:textId="23803684" w:rsidR="00D83BB3" w:rsidRDefault="00D83BB3" w:rsidP="00D83BB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Additional Considerations:</w:t>
      </w:r>
    </w:p>
    <w:p w14:paraId="2D9EADD6" w14:textId="77777777" w:rsidR="00D83BB3" w:rsidRPr="00D83BB3" w:rsidRDefault="00D83BB3" w:rsidP="00D83B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D</w:t>
      </w:r>
      <w:r w:rsidRPr="00D83BB3">
        <w:rPr>
          <w:rFonts w:ascii="Calibri" w:eastAsia="Times New Roman" w:hAnsi="Calibri" w:cs="Calibri"/>
        </w:rPr>
        <w:t>espite great interest in supporting independent projects, this is a major time commitment to supervisor</w:t>
      </w:r>
      <w:r>
        <w:rPr>
          <w:rFonts w:ascii="Calibri" w:eastAsia="Times New Roman" w:hAnsi="Calibri" w:cs="Calibri"/>
        </w:rPr>
        <w:t xml:space="preserve">s, who </w:t>
      </w:r>
      <w:r w:rsidRPr="00D83BB3">
        <w:rPr>
          <w:rFonts w:ascii="Calibri" w:eastAsia="Times New Roman" w:hAnsi="Calibri" w:cs="Calibri"/>
        </w:rPr>
        <w:t>may not always be able to accommodate such requests</w:t>
      </w:r>
    </w:p>
    <w:p w14:paraId="3B7FC2B5" w14:textId="6A5F4440" w:rsidR="00D83BB3" w:rsidRPr="00D83BB3" w:rsidRDefault="00D83BB3" w:rsidP="00D83B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T</w:t>
      </w:r>
      <w:r w:rsidRPr="00D83BB3">
        <w:rPr>
          <w:rFonts w:ascii="Calibri" w:eastAsia="Times New Roman" w:hAnsi="Calibri" w:cs="Calibri"/>
        </w:rPr>
        <w:t xml:space="preserve">his is a FAST timeline - </w:t>
      </w:r>
      <w:r w:rsidR="00D86D9E">
        <w:rPr>
          <w:rFonts w:ascii="Calibri" w:eastAsia="Times New Roman" w:hAnsi="Calibri" w:cs="Calibri"/>
        </w:rPr>
        <w:t>many</w:t>
      </w:r>
      <w:r w:rsidRPr="00D83BB3">
        <w:rPr>
          <w:rFonts w:ascii="Calibri" w:eastAsia="Times New Roman" w:hAnsi="Calibri" w:cs="Calibri"/>
        </w:rPr>
        <w:t xml:space="preserve"> projects </w:t>
      </w:r>
      <w:r w:rsidR="00D86D9E">
        <w:rPr>
          <w:rFonts w:ascii="Calibri" w:eastAsia="Times New Roman" w:hAnsi="Calibri" w:cs="Calibri"/>
        </w:rPr>
        <w:t>will take</w:t>
      </w:r>
      <w:r w:rsidRPr="00D83BB3">
        <w:rPr>
          <w:rFonts w:ascii="Calibri" w:eastAsia="Times New Roman" w:hAnsi="Calibri" w:cs="Calibri"/>
        </w:rPr>
        <w:t xml:space="preserve"> longer than </w:t>
      </w:r>
      <w:r w:rsidR="00AE4B13">
        <w:rPr>
          <w:rFonts w:ascii="Calibri" w:eastAsia="Times New Roman" w:hAnsi="Calibri" w:cs="Calibri"/>
        </w:rPr>
        <w:t>the timeline</w:t>
      </w:r>
      <w:r w:rsidR="00D86D9E">
        <w:rPr>
          <w:rFonts w:ascii="Calibri" w:eastAsia="Times New Roman" w:hAnsi="Calibri" w:cs="Calibri"/>
        </w:rPr>
        <w:t xml:space="preserve"> outlined in the above table</w:t>
      </w:r>
    </w:p>
    <w:p w14:paraId="2F5D7D09" w14:textId="77777777" w:rsidR="00D83BB3" w:rsidRPr="00D83BB3" w:rsidRDefault="00D83BB3" w:rsidP="00D83B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S</w:t>
      </w:r>
      <w:r w:rsidRPr="00D83BB3">
        <w:rPr>
          <w:rFonts w:ascii="Calibri" w:eastAsia="Times New Roman" w:hAnsi="Calibri" w:cs="Calibri"/>
        </w:rPr>
        <w:t xml:space="preserve">tudents </w:t>
      </w:r>
      <w:r>
        <w:rPr>
          <w:rFonts w:ascii="Calibri" w:eastAsia="Times New Roman" w:hAnsi="Calibri" w:cs="Calibri"/>
        </w:rPr>
        <w:t>are</w:t>
      </w:r>
      <w:r w:rsidRPr="00D83BB3">
        <w:rPr>
          <w:rFonts w:ascii="Calibri" w:eastAsia="Times New Roman" w:hAnsi="Calibri" w:cs="Calibri"/>
        </w:rPr>
        <w:t xml:space="preserve"> expected to do a lot of independent trouble shooting (e.g.</w:t>
      </w:r>
      <w:r>
        <w:rPr>
          <w:rFonts w:ascii="Calibri" w:eastAsia="Times New Roman" w:hAnsi="Calibri" w:cs="Calibri"/>
        </w:rPr>
        <w:t xml:space="preserve">, </w:t>
      </w:r>
      <w:r w:rsidRPr="00D83BB3">
        <w:rPr>
          <w:rFonts w:ascii="Calibri" w:eastAsia="Times New Roman" w:hAnsi="Calibri" w:cs="Calibri"/>
        </w:rPr>
        <w:t>identifying stat</w:t>
      </w:r>
      <w:r>
        <w:rPr>
          <w:rFonts w:ascii="Calibri" w:eastAsia="Times New Roman" w:hAnsi="Calibri" w:cs="Calibri"/>
        </w:rPr>
        <w:t xml:space="preserve">istical support and </w:t>
      </w:r>
      <w:r w:rsidRPr="00D83BB3">
        <w:rPr>
          <w:rFonts w:ascii="Calibri" w:eastAsia="Times New Roman" w:hAnsi="Calibri" w:cs="Calibri"/>
        </w:rPr>
        <w:t xml:space="preserve">writing </w:t>
      </w:r>
      <w:r>
        <w:rPr>
          <w:rFonts w:ascii="Calibri" w:eastAsia="Times New Roman" w:hAnsi="Calibri" w:cs="Calibri"/>
        </w:rPr>
        <w:t>resources</w:t>
      </w:r>
      <w:r w:rsidRPr="00D83BB3">
        <w:rPr>
          <w:rFonts w:ascii="Calibri" w:eastAsia="Times New Roman" w:hAnsi="Calibri" w:cs="Calibri"/>
        </w:rPr>
        <w:t xml:space="preserve"> beyond the guidance provided by the supervisor)</w:t>
      </w:r>
    </w:p>
    <w:p w14:paraId="30928F99" w14:textId="77777777" w:rsidR="00D83BB3" w:rsidRPr="00D83BB3" w:rsidRDefault="00D83BB3" w:rsidP="00D83B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83BB3">
        <w:rPr>
          <w:rFonts w:ascii="Calibri" w:eastAsia="Times New Roman" w:hAnsi="Calibri" w:cs="Calibri"/>
        </w:rPr>
        <w:t>Students should begin this process by having a specific hypothesis in mind</w:t>
      </w:r>
      <w:r>
        <w:rPr>
          <w:rFonts w:ascii="Calibri" w:eastAsia="Times New Roman" w:hAnsi="Calibri" w:cs="Calibri"/>
        </w:rPr>
        <w:t>, which will be edited by their supervisor</w:t>
      </w:r>
      <w:r w:rsidRPr="00D83BB3">
        <w:rPr>
          <w:rFonts w:ascii="Calibri" w:eastAsia="Times New Roman" w:hAnsi="Calibri" w:cs="Calibri"/>
        </w:rPr>
        <w:t xml:space="preserve"> </w:t>
      </w:r>
    </w:p>
    <w:p w14:paraId="4A763250" w14:textId="1CFCE64F" w:rsidR="00D83BB3" w:rsidRPr="00D86D9E" w:rsidRDefault="00D83BB3" w:rsidP="005D03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Project h</w:t>
      </w:r>
      <w:r w:rsidRPr="00D83BB3">
        <w:rPr>
          <w:rFonts w:ascii="Calibri" w:eastAsia="Times New Roman" w:hAnsi="Calibri" w:cs="Calibri"/>
        </w:rPr>
        <w:t>ypotheses should fall within the expertise of those in the lab</w:t>
      </w:r>
    </w:p>
    <w:sectPr w:rsidR="00D83BB3" w:rsidRPr="00D86D9E" w:rsidSect="00BD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9A4"/>
    <w:multiLevelType w:val="hybridMultilevel"/>
    <w:tmpl w:val="21EE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FE"/>
    <w:rsid w:val="00196DD0"/>
    <w:rsid w:val="00481BFB"/>
    <w:rsid w:val="004D7ECC"/>
    <w:rsid w:val="005D03B2"/>
    <w:rsid w:val="006205A4"/>
    <w:rsid w:val="006E05FE"/>
    <w:rsid w:val="00973E87"/>
    <w:rsid w:val="00A21F0A"/>
    <w:rsid w:val="00AE4B13"/>
    <w:rsid w:val="00BD4577"/>
    <w:rsid w:val="00D83BB3"/>
    <w:rsid w:val="00D86D9E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5545F"/>
  <w14:defaultImageDpi w14:val="32767"/>
  <w15:chartTrackingRefBased/>
  <w15:docId w15:val="{808B70A8-89A5-E84A-991D-B0CB7C8C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Fields</dc:creator>
  <cp:keywords/>
  <dc:description/>
  <cp:lastModifiedBy>Andrea Fields</cp:lastModifiedBy>
  <cp:revision>8</cp:revision>
  <dcterms:created xsi:type="dcterms:W3CDTF">2021-06-29T21:12:00Z</dcterms:created>
  <dcterms:modified xsi:type="dcterms:W3CDTF">2021-08-16T22:12:00Z</dcterms:modified>
</cp:coreProperties>
</file>